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156"/>
        <w:gridCol w:w="156"/>
        <w:gridCol w:w="9193"/>
      </w:tblGrid>
      <w:tr w:rsidR="00C8171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5A13E0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2090"/>
              <w:gridCol w:w="2002"/>
              <w:gridCol w:w="2892"/>
              <w:gridCol w:w="2059"/>
            </w:tblGrid>
            <w:tr w:rsidR="007D05AB" w:rsidTr="007D05AB">
              <w:trPr>
                <w:trHeight w:val="1715"/>
              </w:trPr>
              <w:tc>
                <w:tcPr>
                  <w:tcW w:w="2392" w:type="dxa"/>
                  <w:hideMark/>
                </w:tcPr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 на заседании педагогического совета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 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 30.05.2022года</w:t>
                  </w:r>
                </w:p>
              </w:tc>
              <w:tc>
                <w:tcPr>
                  <w:tcW w:w="2393" w:type="dxa"/>
                  <w:hideMark/>
                </w:tcPr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 на заседании Управляющего совета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29.05.2022</w:t>
                  </w:r>
                </w:p>
              </w:tc>
              <w:tc>
                <w:tcPr>
                  <w:tcW w:w="2393" w:type="dxa"/>
                </w:tcPr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80210" cy="1711960"/>
                        <wp:effectExtent l="19050" t="0" r="0" b="0"/>
                        <wp:docPr id="1" name="Рисунок 2" descr="печа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печа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62154" t="5296" r="19299" b="808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0210" cy="171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  <w:hideMark/>
                </w:tcPr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С.В. Сорокина</w:t>
                  </w:r>
                </w:p>
                <w:p w:rsidR="007D05AB" w:rsidRDefault="007D0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№_ 27от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30.05.2022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  <w:r w:rsidRPr="005A13E0">
        <w:rPr>
          <w:rFonts w:ascii="Times New Roman" w:hAnsi="Times New Roman"/>
          <w:sz w:val="28"/>
          <w:szCs w:val="28"/>
        </w:rPr>
        <w:br/>
      </w: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proofErr w:type="spellStart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комиссии </w:t>
      </w:r>
      <w:r w:rsidR="005A13E0" w:rsidRPr="005A13E0">
        <w:rPr>
          <w:rFonts w:ascii="Times New Roman" w:hAnsi="Times New Roman"/>
          <w:b/>
          <w:sz w:val="28"/>
          <w:szCs w:val="28"/>
        </w:rPr>
        <w:t>МКОУ Соснов</w:t>
      </w:r>
      <w:proofErr w:type="gramStart"/>
      <w:r w:rsidR="005A13E0" w:rsidRPr="005A13E0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5A13E0" w:rsidRPr="005A13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13E0" w:rsidRPr="005A13E0">
        <w:rPr>
          <w:rFonts w:ascii="Times New Roman" w:hAnsi="Times New Roman"/>
          <w:b/>
          <w:sz w:val="28"/>
          <w:szCs w:val="28"/>
        </w:rPr>
        <w:t>Логовская</w:t>
      </w:r>
      <w:proofErr w:type="spellEnd"/>
      <w:r w:rsidR="005A13E0" w:rsidRPr="005A13E0">
        <w:rPr>
          <w:rFonts w:ascii="Times New Roman" w:hAnsi="Times New Roman"/>
          <w:b/>
          <w:sz w:val="28"/>
          <w:szCs w:val="28"/>
        </w:rPr>
        <w:t xml:space="preserve"> ООШ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5A13E0" w:rsidRPr="005A13E0">
        <w:rPr>
          <w:rFonts w:ascii="Times New Roman" w:hAnsi="Times New Roman"/>
          <w:color w:val="000000"/>
          <w:sz w:val="28"/>
          <w:szCs w:val="28"/>
        </w:rPr>
        <w:t xml:space="preserve"> МКОУ Сосново – </w:t>
      </w:r>
      <w:proofErr w:type="spellStart"/>
      <w:r w:rsidR="005A13E0" w:rsidRPr="005A13E0">
        <w:rPr>
          <w:rFonts w:ascii="Times New Roman" w:hAnsi="Times New Roman"/>
          <w:color w:val="000000"/>
          <w:sz w:val="28"/>
          <w:szCs w:val="28"/>
        </w:rPr>
        <w:t>Логовская</w:t>
      </w:r>
      <w:proofErr w:type="spellEnd"/>
      <w:r w:rsidR="005A13E0" w:rsidRPr="005A13E0">
        <w:rPr>
          <w:rFonts w:ascii="Times New Roman" w:hAnsi="Times New Roman"/>
          <w:color w:val="000000"/>
          <w:sz w:val="28"/>
          <w:szCs w:val="28"/>
        </w:rPr>
        <w:t xml:space="preserve"> ООШ </w:t>
      </w:r>
      <w:r w:rsidRPr="005A13E0">
        <w:rPr>
          <w:rFonts w:ascii="Times New Roman" w:hAnsi="Times New Roman"/>
          <w:color w:val="000000"/>
          <w:sz w:val="28"/>
          <w:szCs w:val="28"/>
        </w:rPr>
        <w:t>(далее соответственно – Положение, образовательная организация) разработано в соответствии с Федеральным законом от 29.12.2012 № 273-ФЗ «Об образовании в Российской Федерации», ГОСТ 31986-2012 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1.2. Положение составлено в рамках мероприятия ХАССП для </w:t>
      </w:r>
      <w:proofErr w:type="gramStart"/>
      <w:r w:rsidRPr="005A13E0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создания </w:t>
      </w:r>
      <w:proofErr w:type="spellStart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комиссии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Бракеражная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комиссия формируется</w:t>
      </w:r>
      <w:r w:rsidRPr="005A13E0">
        <w:rPr>
          <w:rFonts w:ascii="Times New Roman" w:hAnsi="Times New Roman"/>
          <w:sz w:val="28"/>
          <w:szCs w:val="28"/>
        </w:rPr>
        <w:t xml:space="preserve"> общим собранием трудового коллектива </w:t>
      </w:r>
      <w:r w:rsidRPr="005A13E0">
        <w:rPr>
          <w:rFonts w:ascii="Times New Roman" w:hAnsi="Times New Roman"/>
          <w:color w:val="000000"/>
          <w:sz w:val="28"/>
          <w:szCs w:val="28"/>
        </w:rPr>
        <w:t>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2.2. В состав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входят: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2.2.1. Председатель – </w:t>
      </w:r>
      <w:r w:rsidRPr="005A13E0">
        <w:rPr>
          <w:rFonts w:ascii="Times New Roman" w:hAnsi="Times New Roman"/>
          <w:sz w:val="28"/>
          <w:szCs w:val="28"/>
        </w:rPr>
        <w:t>представитель администрации образовательной организации.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2.2.2. Члены комиссии:</w:t>
      </w:r>
    </w:p>
    <w:p w:rsidR="00C81710" w:rsidRPr="005A13E0" w:rsidRDefault="00C81710" w:rsidP="005A13E0">
      <w:pPr>
        <w:numPr>
          <w:ilvl w:val="0"/>
          <w:numId w:val="38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13E0">
        <w:rPr>
          <w:rFonts w:ascii="Times New Roman" w:hAnsi="Times New Roman"/>
          <w:i/>
          <w:sz w:val="28"/>
          <w:szCs w:val="28"/>
        </w:rPr>
        <w:t>работник пищеблока;</w:t>
      </w:r>
    </w:p>
    <w:p w:rsidR="005A13E0" w:rsidRPr="005A13E0" w:rsidRDefault="005A13E0" w:rsidP="005A13E0">
      <w:pPr>
        <w:numPr>
          <w:ilvl w:val="0"/>
          <w:numId w:val="38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A13E0">
        <w:rPr>
          <w:rFonts w:ascii="Times New Roman" w:hAnsi="Times New Roman"/>
          <w:i/>
          <w:sz w:val="28"/>
          <w:szCs w:val="28"/>
        </w:rPr>
        <w:t>педагог школы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2.3. Отсутствие отдельных членов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не является препятствием для ее деятельности. Для надлежащего выполнения функций комиссии достаточно не менее </w:t>
      </w:r>
      <w:r w:rsidRPr="005A13E0">
        <w:rPr>
          <w:rFonts w:ascii="Times New Roman" w:hAnsi="Times New Roman"/>
          <w:i/>
          <w:sz w:val="28"/>
          <w:szCs w:val="28"/>
        </w:rPr>
        <w:t>трех</w:t>
      </w:r>
      <w:r w:rsidRPr="005A13E0">
        <w:rPr>
          <w:rFonts w:ascii="Times New Roman" w:hAnsi="Times New Roman"/>
          <w:sz w:val="28"/>
          <w:szCs w:val="28"/>
        </w:rPr>
        <w:t xml:space="preserve"> </w:t>
      </w:r>
      <w:r w:rsidRPr="005A13E0">
        <w:rPr>
          <w:rFonts w:ascii="Times New Roman" w:hAnsi="Times New Roman"/>
          <w:color w:val="000000"/>
          <w:sz w:val="28"/>
          <w:szCs w:val="28"/>
        </w:rPr>
        <w:t>ее членов.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2.4. При необходимости в состав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 2.2 настоящего Положения, а также </w:t>
      </w:r>
      <w:r w:rsidRPr="005A13E0">
        <w:rPr>
          <w:rFonts w:ascii="Times New Roman" w:hAnsi="Times New Roman"/>
          <w:color w:val="000000"/>
          <w:sz w:val="28"/>
          <w:szCs w:val="28"/>
        </w:rPr>
        <w:lastRenderedPageBreak/>
        <w:t>специалисты и эксперты, не являющиеся работниками образовательной организации.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2.5. Председатель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является ее полноправным членом. В случае равенства голосов при голосовании голос председателя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является решающим.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Основные цели и задачи </w:t>
      </w:r>
      <w:proofErr w:type="spellStart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комиссии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Бракеражная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комиссия создается с целью осуществления постоянного контроля качества готовых блюд, приготовленных в пищеблоке образовательной организации.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3.2. Задачи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комиссии:</w:t>
      </w:r>
    </w:p>
    <w:p w:rsidR="00C81710" w:rsidRPr="005A13E0" w:rsidRDefault="00C81710" w:rsidP="005A13E0">
      <w:pPr>
        <w:numPr>
          <w:ilvl w:val="0"/>
          <w:numId w:val="39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контроль массы всех готовых блюд (штучных изделий, полуфабрикатов, порционных блюд, продукции к блюдам);</w:t>
      </w:r>
    </w:p>
    <w:p w:rsidR="00C81710" w:rsidRPr="005A13E0" w:rsidRDefault="00C81710" w:rsidP="005A13E0">
      <w:pPr>
        <w:numPr>
          <w:ilvl w:val="0"/>
          <w:numId w:val="39"/>
        </w:numPr>
        <w:spacing w:before="100"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органолептическая оценка всех готовых блюд (состав, вкус, температура, запах, внешний вид, готовность).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3.3. Возложение на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бракеражную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комиссию иных поручений, не соответствующих цели и задачам ее создания, не допускается.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3.4. Решения, принятые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комиссией в </w:t>
      </w:r>
      <w:proofErr w:type="gramStart"/>
      <w:r w:rsidRPr="005A13E0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5A13E0">
        <w:rPr>
          <w:rFonts w:ascii="Times New Roman" w:hAnsi="Times New Roman"/>
          <w:color w:val="000000"/>
          <w:sz w:val="28"/>
          <w:szCs w:val="28"/>
        </w:rPr>
        <w:t xml:space="preserve"> имеющихся у нее полномочий, содержат указания, обязательные к исполнению всеми работниками образовательной 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Права и обязанности </w:t>
      </w:r>
      <w:proofErr w:type="spellStart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комиссии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Бракеражная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комиссия вправе:</w:t>
      </w:r>
    </w:p>
    <w:p w:rsidR="00C81710" w:rsidRPr="005A13E0" w:rsidRDefault="00C81710" w:rsidP="005A13E0">
      <w:pPr>
        <w:numPr>
          <w:ilvl w:val="0"/>
          <w:numId w:val="40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выносить на обсуждение конкретные предложения по организации питания;</w:t>
      </w:r>
    </w:p>
    <w:p w:rsidR="00C81710" w:rsidRPr="005A13E0" w:rsidRDefault="00C81710" w:rsidP="005A13E0">
      <w:pPr>
        <w:numPr>
          <w:ilvl w:val="0"/>
          <w:numId w:val="40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ходатайствовать о поощрении или наказании работников пищеблока образовательной организации;</w:t>
      </w:r>
    </w:p>
    <w:p w:rsidR="00C81710" w:rsidRPr="005A13E0" w:rsidRDefault="00C81710" w:rsidP="005A13E0">
      <w:pPr>
        <w:numPr>
          <w:ilvl w:val="0"/>
          <w:numId w:val="40"/>
        </w:numPr>
        <w:spacing w:before="100"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находиться в помещениях пищеблока для проведения бракеража готовых блюд.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Бракеражная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комиссия обязана:</w:t>
      </w:r>
      <w:r w:rsidRPr="005A13E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ежедневно являться на бракераж готовой пищевой продукции за </w:t>
      </w:r>
      <w:r w:rsidRPr="005A13E0">
        <w:rPr>
          <w:rFonts w:ascii="Times New Roman" w:hAnsi="Times New Roman"/>
          <w:sz w:val="28"/>
          <w:szCs w:val="28"/>
        </w:rPr>
        <w:t>20 минут</w:t>
      </w:r>
      <w:r w:rsidRPr="005A13E0">
        <w:rPr>
          <w:rFonts w:ascii="Times New Roman" w:hAnsi="Times New Roman"/>
          <w:color w:val="000000"/>
          <w:sz w:val="28"/>
          <w:szCs w:val="28"/>
        </w:rPr>
        <w:t xml:space="preserve"> до начала раздачи; 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выносить одно из трех обоснованных решений: допустить к раздаче, направить на доработку, отправить в брак;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ознакомиться с меню, таблицами выхода и состава продукции, изучить технологические и калькуляционные карты приготовления пищи, качество которой оценивается;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lastRenderedPageBreak/>
        <w:t>своевременно сообщить руководству образовательной организации о проблемах здоровья, которые препятствуют осуществлению возложенных функций;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осуществлять свои функции в специально выдаваемой одежде: </w:t>
      </w:r>
      <w:r w:rsidR="005A13E0" w:rsidRPr="005A13E0">
        <w:rPr>
          <w:rFonts w:ascii="Times New Roman" w:hAnsi="Times New Roman"/>
          <w:i/>
          <w:sz w:val="28"/>
          <w:szCs w:val="28"/>
        </w:rPr>
        <w:t>халате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перед тем как приступить к своим обязанностям, вымыть руки и надеть специальную одежду;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5A13E0">
        <w:rPr>
          <w:rFonts w:ascii="Times New Roman" w:hAnsi="Times New Roman"/>
          <w:color w:val="000000"/>
          <w:sz w:val="28"/>
          <w:szCs w:val="28"/>
        </w:rPr>
        <w:t>брака</w:t>
      </w:r>
      <w:proofErr w:type="gramEnd"/>
      <w:r w:rsidRPr="005A13E0">
        <w:rPr>
          <w:rFonts w:ascii="Times New Roman" w:hAnsi="Times New Roman"/>
          <w:color w:val="000000"/>
          <w:sz w:val="28"/>
          <w:szCs w:val="28"/>
        </w:rPr>
        <w:t xml:space="preserve"> готовых блюд;</w:t>
      </w:r>
    </w:p>
    <w:p w:rsidR="00C81710" w:rsidRPr="005A13E0" w:rsidRDefault="00C81710" w:rsidP="005A13E0">
      <w:pPr>
        <w:numPr>
          <w:ilvl w:val="0"/>
          <w:numId w:val="41"/>
        </w:numPr>
        <w:spacing w:before="100" w:after="0" w:line="240" w:lineRule="auto"/>
        <w:ind w:left="0" w:firstLine="0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фиксировать результаты бракеража в учетных документах:</w:t>
      </w:r>
      <w:r w:rsidRPr="005A13E0">
        <w:rPr>
          <w:rFonts w:ascii="Times New Roman" w:hAnsi="Times New Roman"/>
          <w:sz w:val="28"/>
          <w:szCs w:val="28"/>
        </w:rPr>
        <w:t xml:space="preserve"> </w:t>
      </w:r>
      <w:r w:rsidRPr="005A13E0">
        <w:rPr>
          <w:rFonts w:ascii="Times New Roman" w:hAnsi="Times New Roman"/>
          <w:i/>
          <w:sz w:val="28"/>
          <w:szCs w:val="28"/>
        </w:rPr>
        <w:t>в журнале бракеража готовой кулинарной продукции и акте выявления брака (по необходимости).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Деятельность </w:t>
      </w:r>
      <w:proofErr w:type="spellStart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комиссии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5.2. Для оценки контроля массы и органолептической оценки члены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используют порядки, указанные в приложениях № 1 и 2 к настоящему Положению.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5.3. Работники образовательной организации обязаны содействовать деятельности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комиссии: представлять затребованные документы, давать пояснения, предъявлять пищевые продукты, технологические емкости, посуду и т. п.</w:t>
      </w:r>
    </w:p>
    <w:p w:rsidR="00C81710" w:rsidRPr="005A13E0" w:rsidRDefault="00C81710" w:rsidP="005A1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710" w:rsidRDefault="00C81710" w:rsidP="005A13E0">
      <w:pPr>
        <w:framePr w:hSpace="180" w:wrap="around" w:vAnchor="text" w:hAnchor="page" w:x="841" w:y="586"/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5A13E0">
        <w:rPr>
          <w:rFonts w:ascii="Times New Roman" w:hAnsi="Times New Roman"/>
          <w:color w:val="000000"/>
          <w:sz w:val="28"/>
          <w:szCs w:val="28"/>
        </w:rPr>
        <w:t xml:space="preserve">6.1. Члены </w:t>
      </w:r>
      <w:proofErr w:type="spellStart"/>
      <w:r w:rsidRPr="005A13E0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5A13E0">
        <w:rPr>
          <w:rFonts w:ascii="Times New Roman" w:hAnsi="Times New Roman"/>
          <w:color w:val="000000"/>
          <w:sz w:val="28"/>
          <w:szCs w:val="28"/>
        </w:rPr>
        <w:t xml:space="preserve"> комиссии несут персональную ответственность за выполнение возложенных на них функций и за вынесенные в ходе деятельности решения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81710" w:rsidRDefault="00C81710" w:rsidP="00C8171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Заключительные положения</w:t>
      </w:r>
    </w:p>
    <w:tbl>
      <w:tblPr>
        <w:tblW w:w="0" w:type="auto"/>
        <w:tblLook w:val="0600"/>
      </w:tblPr>
      <w:tblGrid>
        <w:gridCol w:w="156"/>
        <w:gridCol w:w="156"/>
      </w:tblGrid>
      <w:tr w:rsidR="00C8171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5A13E0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710" w:rsidRDefault="00C81710" w:rsidP="00C8171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Look w:val="0600"/>
      </w:tblPr>
      <w:tblGrid>
        <w:gridCol w:w="156"/>
        <w:gridCol w:w="156"/>
        <w:gridCol w:w="156"/>
      </w:tblGrid>
      <w:tr w:rsidR="00C8171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5A13E0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710" w:rsidRDefault="00C81710" w:rsidP="00C8171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7008" w:type="dxa"/>
        <w:tblInd w:w="2850" w:type="dxa"/>
        <w:tblLook w:val="0600"/>
      </w:tblPr>
      <w:tblGrid>
        <w:gridCol w:w="156"/>
        <w:gridCol w:w="6852"/>
      </w:tblGrid>
      <w:tr w:rsidR="00C81710" w:rsidTr="005A13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710" w:rsidTr="005A13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13E0" w:rsidRDefault="005A13E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710" w:rsidRPr="005A13E0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ПОРЯДОК</w:t>
      </w:r>
      <w:r>
        <w:rPr>
          <w:rFonts w:ascii="Arial" w:hAnsi="Arial" w:cs="Arial"/>
          <w:sz w:val="24"/>
          <w:szCs w:val="24"/>
        </w:rPr>
        <w:br/>
      </w:r>
      <w:r w:rsidRPr="005A13E0">
        <w:rPr>
          <w:rFonts w:ascii="Times New Roman" w:hAnsi="Times New Roman"/>
          <w:b/>
          <w:bCs/>
          <w:color w:val="000000"/>
          <w:sz w:val="24"/>
          <w:szCs w:val="24"/>
        </w:rPr>
        <w:t>органолептической оценки готовых блюд</w:t>
      </w:r>
    </w:p>
    <w:p w:rsidR="00C81710" w:rsidRPr="005A13E0" w:rsidRDefault="00C81710" w:rsidP="005A13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3E0">
        <w:rPr>
          <w:rFonts w:ascii="Times New Roman" w:hAnsi="Times New Roman"/>
          <w:color w:val="000000"/>
          <w:sz w:val="24"/>
          <w:szCs w:val="24"/>
        </w:rPr>
        <w:t xml:space="preserve">Для дачи органолептической оценки из общей емкости с готовой пищевой продукцией отбирают </w:t>
      </w:r>
      <w:proofErr w:type="spellStart"/>
      <w:r w:rsidRPr="005A13E0">
        <w:rPr>
          <w:rFonts w:ascii="Times New Roman" w:hAnsi="Times New Roman"/>
          <w:color w:val="000000"/>
          <w:sz w:val="24"/>
          <w:szCs w:val="24"/>
        </w:rPr>
        <w:t>бракеражную</w:t>
      </w:r>
      <w:proofErr w:type="spellEnd"/>
      <w:r w:rsidRPr="005A13E0">
        <w:rPr>
          <w:rFonts w:ascii="Times New Roman" w:hAnsi="Times New Roman"/>
          <w:color w:val="000000"/>
          <w:sz w:val="24"/>
          <w:szCs w:val="24"/>
        </w:rPr>
        <w:t xml:space="preserve"> пробу для каждого члена комиссии в объеме:</w:t>
      </w:r>
    </w:p>
    <w:p w:rsidR="00C81710" w:rsidRPr="005A13E0" w:rsidRDefault="00C81710" w:rsidP="005A13E0">
      <w:pPr>
        <w:pStyle w:val="a6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1"/>
          <w:shd w:val="clear" w:color="auto" w:fill="FFFFFF"/>
        </w:rPr>
      </w:pPr>
      <w:r w:rsidRPr="005A13E0">
        <w:rPr>
          <w:rFonts w:ascii="Times New Roman" w:hAnsi="Times New Roman"/>
          <w:color w:val="000000"/>
          <w:sz w:val="24"/>
          <w:szCs w:val="24"/>
        </w:rPr>
        <w:t xml:space="preserve">трех </w:t>
      </w:r>
      <w:r w:rsidRPr="005A13E0">
        <w:rPr>
          <w:rFonts w:ascii="Times New Roman" w:hAnsi="Times New Roman"/>
          <w:b/>
          <w:sz w:val="24"/>
          <w:szCs w:val="24"/>
        </w:rPr>
        <w:t>ложек</w:t>
      </w:r>
      <w:r w:rsidRPr="005A13E0">
        <w:rPr>
          <w:rFonts w:ascii="Times New Roman" w:hAnsi="Times New Roman"/>
          <w:color w:val="000000"/>
          <w:sz w:val="24"/>
          <w:szCs w:val="24"/>
        </w:rPr>
        <w:t xml:space="preserve">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C81710" w:rsidRPr="005A13E0" w:rsidRDefault="00C81710" w:rsidP="005A13E0">
      <w:pPr>
        <w:numPr>
          <w:ilvl w:val="0"/>
          <w:numId w:val="44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13E0">
        <w:rPr>
          <w:rFonts w:ascii="Times New Roman" w:hAnsi="Times New Roman"/>
          <w:b/>
          <w:sz w:val="24"/>
          <w:szCs w:val="24"/>
        </w:rPr>
        <w:t>одного изделия или блюда</w:t>
      </w:r>
      <w:r w:rsidRPr="005A13E0">
        <w:rPr>
          <w:rFonts w:ascii="Times New Roman" w:hAnsi="Times New Roman"/>
          <w:color w:val="000000"/>
          <w:sz w:val="24"/>
          <w:szCs w:val="24"/>
        </w:rPr>
        <w:t xml:space="preserve"> – продукции плотной консистенции. Блюда и изделия сначала оценивают внешне, а затем нарезают на общей </w:t>
      </w:r>
      <w:proofErr w:type="gramStart"/>
      <w:r w:rsidRPr="005A13E0">
        <w:rPr>
          <w:rFonts w:ascii="Times New Roman" w:hAnsi="Times New Roman"/>
          <w:color w:val="000000"/>
          <w:sz w:val="24"/>
          <w:szCs w:val="24"/>
        </w:rPr>
        <w:t>тарелке</w:t>
      </w:r>
      <w:proofErr w:type="gramEnd"/>
      <w:r w:rsidRPr="005A13E0">
        <w:rPr>
          <w:rFonts w:ascii="Times New Roman" w:hAnsi="Times New Roman"/>
          <w:color w:val="000000"/>
          <w:sz w:val="24"/>
          <w:szCs w:val="24"/>
        </w:rPr>
        <w:t xml:space="preserve"> на тестируемые порции.</w:t>
      </w:r>
    </w:p>
    <w:p w:rsidR="00C81710" w:rsidRPr="005A13E0" w:rsidRDefault="00C81710" w:rsidP="005A13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3E0">
        <w:rPr>
          <w:rFonts w:ascii="Times New Roman" w:hAnsi="Times New Roman"/>
          <w:color w:val="000000"/>
          <w:sz w:val="24"/>
          <w:szCs w:val="24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C81710" w:rsidRPr="005A13E0" w:rsidRDefault="00C81710" w:rsidP="005A13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13E0">
        <w:rPr>
          <w:rFonts w:ascii="Times New Roman" w:hAnsi="Times New Roman"/>
          <w:color w:val="000000"/>
          <w:sz w:val="24"/>
          <w:szCs w:val="24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приложении</w:t>
      </w:r>
      <w:proofErr w:type="gramStart"/>
      <w:r w:rsidRPr="005A13E0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5A13E0">
        <w:rPr>
          <w:rFonts w:ascii="Times New Roman" w:hAnsi="Times New Roman"/>
          <w:color w:val="000000"/>
          <w:sz w:val="24"/>
          <w:szCs w:val="24"/>
        </w:rPr>
        <w:t xml:space="preserve"> к ГОСТ 31986-2012.</w:t>
      </w:r>
    </w:p>
    <w:p w:rsidR="00C81710" w:rsidRPr="005A13E0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A13E0">
        <w:rPr>
          <w:rFonts w:ascii="Times New Roman" w:hAnsi="Times New Roman"/>
          <w:b/>
          <w:bCs/>
          <w:color w:val="000000"/>
          <w:sz w:val="24"/>
          <w:szCs w:val="24"/>
        </w:rPr>
        <w:t>Таблица 1. Методика проведения оценки продукции</w:t>
      </w:r>
    </w:p>
    <w:tbl>
      <w:tblPr>
        <w:tblW w:w="0" w:type="auto"/>
        <w:tblLook w:val="0600"/>
      </w:tblPr>
      <w:tblGrid>
        <w:gridCol w:w="2471"/>
        <w:gridCol w:w="7034"/>
      </w:tblGrid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 оценивают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например, наличие лука или петрушки. Каждую составную часть исследуют отдельно, отмечая соотношение жидкой и плотной частей, консистенцию продуктов, форму нарезки, вкус. Затем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консистенцию, переливая тонкой струйкой и пробуя на вкус. Затем оценивают цвет, состав, правильность формы нарезки, текстуру наполнителей, а также запах и вкус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Блюда и изделия с плотной структурой после оценки внешнего вида нарезают на общей </w:t>
            </w:r>
            <w:proofErr w:type="gram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тарелке</w:t>
            </w:r>
            <w:proofErr w:type="gram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тестируемые порции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тушеных и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тестируют овощи и соус, а затем пробуют блюдо в целом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Вначале оценивают внешний вид – правильность формы нарезки, а затем текстуру (консистенцию), запах и вкус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круп и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Продукцию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текстуру: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разваренность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слипаемость</w:t>
            </w:r>
            <w:proofErr w:type="spellEnd"/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правильность разделки и соблюдение рецептуры; правильность подготовки полуфабрикатов – нарезку, панировку; текстуру; запах и вкус изделий</w:t>
            </w:r>
          </w:p>
        </w:tc>
      </w:tr>
      <w:tr w:rsidR="00C81710" w:rsidRPr="005A13E0" w:rsidTr="005A13E0">
        <w:trPr>
          <w:trHeight w:val="2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Для мясных соусных блюд отдельно оценивают все составные части: основное изделие, соус, гарнир; затем пробуют блюдо в целом</w:t>
            </w:r>
          </w:p>
        </w:tc>
      </w:tr>
      <w:tr w:rsidR="00C81710" w:rsidRPr="005A13E0" w:rsidTr="005A13E0">
        <w:trPr>
          <w:trHeight w:val="11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Холодные блюда, полуфабрикаты, салаты и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Особое внимание обращают на внешний вид блюда – правильность формы нарезки основных продуктов, их текстуру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Учитывают групповые особенности блюд, а также:</w:t>
            </w:r>
          </w:p>
          <w:p w:rsidR="00C81710" w:rsidRPr="005A13E0" w:rsidRDefault="00C81710" w:rsidP="003D2F69">
            <w:pPr>
              <w:numPr>
                <w:ilvl w:val="0"/>
                <w:numId w:val="45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желированных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C81710" w:rsidRPr="005A13E0" w:rsidRDefault="00C81710" w:rsidP="003D2F69">
            <w:pPr>
              <w:numPr>
                <w:ilvl w:val="0"/>
                <w:numId w:val="45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пропеченность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, отсутствие закала. Затем оценивают запах и вкус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кулинарные </w:t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полуфабрикаты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Исследуют внешний вид: характер поверхности теста, цвет и </w:t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состояние корочки у блинов,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оладьев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, пирожков и т. д., форму изделия. Обращают внимание на соотношение фарша и теста, качество фарша: его сочность, степень готовности, состав. Затем оценивают запах и вкус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Мучные кондитерские и булочные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пропеченность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отсутствие признаков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непромеса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, характер пористости, эластичность, свежесть, отсутствие закала. После этого оценивают качество отделочных полуфабрикатов по следующим признакам: состояние кремовой массы, помады, желе, глазури, их пышность, пластичность. Далее оценивают запах и вкус изделия в целом</w:t>
            </w:r>
          </w:p>
        </w:tc>
      </w:tr>
      <w:tr w:rsidR="00C8171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1710" w:rsidRDefault="00C81710" w:rsidP="00C8171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81710" w:rsidRPr="005A13E0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A13E0">
        <w:rPr>
          <w:rFonts w:ascii="Times New Roman" w:hAnsi="Times New Roman"/>
          <w:b/>
          <w:bCs/>
          <w:color w:val="000000"/>
          <w:sz w:val="24"/>
          <w:szCs w:val="24"/>
        </w:rPr>
        <w:t>Таблица 2. Методика дачи оценки продукции</w:t>
      </w:r>
    </w:p>
    <w:tbl>
      <w:tblPr>
        <w:tblW w:w="0" w:type="auto"/>
        <w:tblLook w:val="0600"/>
      </w:tblPr>
      <w:tblGrid>
        <w:gridCol w:w="7862"/>
        <w:gridCol w:w="1643"/>
      </w:tblGrid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 и оценка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Не имеет недостатков. Органолептические показатели соответствуют требованиям нормативных и 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(отлично)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Имеет незначительные или легкоустранимые недостатки. Например: типичные для данного вида продукции, но слабовыраженные запах и вкус; неравномерная форма нарезки; недостаточно соленый вкус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4 балла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(хорошо)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значительные недостатки, но </w:t>
            </w:r>
            <w:proofErr w:type="gram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пригоден</w:t>
            </w:r>
            <w:proofErr w:type="gram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реализации без переработки. В числе недостатков могут быть: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подсыхание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поверхности; нарушение формы изделия; неправильная форма нарезки овощей; слабый или чрезмерный запах специй; жидкость в салатах; жесткая текстура или консистенция мяса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3 балла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ельно</w:t>
            </w:r>
            <w:proofErr w:type="spellEnd"/>
            <w:proofErr w:type="gram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1710" w:rsidRPr="005A13E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значительные дефекты: присутствуют посторонние привкусы или запахи; пересолено; </w:t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недоварено</w:t>
            </w:r>
            <w:proofErr w:type="spell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; подгорело; утратило форму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5A13E0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2 балла</w:t>
            </w:r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 w:rsidRPr="005A13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ительно</w:t>
            </w:r>
            <w:proofErr w:type="spellEnd"/>
            <w:proofErr w:type="gramEnd"/>
            <w:r w:rsidRPr="005A13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171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Default="00C8171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067BE" w:rsidRDefault="002067BE"/>
    <w:sectPr w:rsidR="002067BE" w:rsidSect="002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7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F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479DC"/>
    <w:multiLevelType w:val="multilevel"/>
    <w:tmpl w:val="334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91D16"/>
    <w:multiLevelType w:val="multilevel"/>
    <w:tmpl w:val="B7E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A37DE"/>
    <w:multiLevelType w:val="multilevel"/>
    <w:tmpl w:val="915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6110D"/>
    <w:multiLevelType w:val="multilevel"/>
    <w:tmpl w:val="C4B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5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363FE"/>
    <w:multiLevelType w:val="multilevel"/>
    <w:tmpl w:val="503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27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92E07"/>
    <w:multiLevelType w:val="multilevel"/>
    <w:tmpl w:val="5A7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D3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A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727AF"/>
    <w:multiLevelType w:val="multilevel"/>
    <w:tmpl w:val="0B4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F7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04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55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565669"/>
    <w:multiLevelType w:val="multilevel"/>
    <w:tmpl w:val="12C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750B6"/>
    <w:multiLevelType w:val="multilevel"/>
    <w:tmpl w:val="F68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9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5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6A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A9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E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E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A5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271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7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E25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6C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E2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4C4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5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A3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2"/>
  </w:num>
  <w:num w:numId="3">
    <w:abstractNumId w:val="42"/>
  </w:num>
  <w:num w:numId="4">
    <w:abstractNumId w:val="30"/>
  </w:num>
  <w:num w:numId="5">
    <w:abstractNumId w:val="27"/>
  </w:num>
  <w:num w:numId="6">
    <w:abstractNumId w:val="34"/>
  </w:num>
  <w:num w:numId="7">
    <w:abstractNumId w:val="40"/>
  </w:num>
  <w:num w:numId="8">
    <w:abstractNumId w:val="31"/>
  </w:num>
  <w:num w:numId="9">
    <w:abstractNumId w:val="33"/>
  </w:num>
  <w:num w:numId="10">
    <w:abstractNumId w:val="39"/>
  </w:num>
  <w:num w:numId="11">
    <w:abstractNumId w:val="36"/>
  </w:num>
  <w:num w:numId="12">
    <w:abstractNumId w:val="46"/>
  </w:num>
  <w:num w:numId="13">
    <w:abstractNumId w:val="4"/>
  </w:num>
  <w:num w:numId="14">
    <w:abstractNumId w:val="7"/>
  </w:num>
  <w:num w:numId="15">
    <w:abstractNumId w:val="29"/>
  </w:num>
  <w:num w:numId="16">
    <w:abstractNumId w:val="18"/>
  </w:num>
  <w:num w:numId="17">
    <w:abstractNumId w:val="44"/>
  </w:num>
  <w:num w:numId="18">
    <w:abstractNumId w:val="15"/>
  </w:num>
  <w:num w:numId="19">
    <w:abstractNumId w:val="45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3"/>
  </w:num>
  <w:num w:numId="25">
    <w:abstractNumId w:val="24"/>
  </w:num>
  <w:num w:numId="26">
    <w:abstractNumId w:val="1"/>
  </w:num>
  <w:num w:numId="27">
    <w:abstractNumId w:val="35"/>
  </w:num>
  <w:num w:numId="28">
    <w:abstractNumId w:val="21"/>
  </w:num>
  <w:num w:numId="29">
    <w:abstractNumId w:val="16"/>
  </w:num>
  <w:num w:numId="30">
    <w:abstractNumId w:val="13"/>
  </w:num>
  <w:num w:numId="31">
    <w:abstractNumId w:val="6"/>
  </w:num>
  <w:num w:numId="32">
    <w:abstractNumId w:val="8"/>
  </w:num>
  <w:num w:numId="33">
    <w:abstractNumId w:val="5"/>
  </w:num>
  <w:num w:numId="34">
    <w:abstractNumId w:val="11"/>
  </w:num>
  <w:num w:numId="35">
    <w:abstractNumId w:val="19"/>
  </w:num>
  <w:num w:numId="36">
    <w:abstractNumId w:val="14"/>
  </w:num>
  <w:num w:numId="37">
    <w:abstractNumId w:val="28"/>
  </w:num>
  <w:num w:numId="38">
    <w:abstractNumId w:val="23"/>
  </w:num>
  <w:num w:numId="39">
    <w:abstractNumId w:val="25"/>
  </w:num>
  <w:num w:numId="40">
    <w:abstractNumId w:val="12"/>
  </w:num>
  <w:num w:numId="41">
    <w:abstractNumId w:val="43"/>
  </w:num>
  <w:num w:numId="42">
    <w:abstractNumId w:val="26"/>
  </w:num>
  <w:num w:numId="43">
    <w:abstractNumId w:val="37"/>
  </w:num>
  <w:num w:numId="44">
    <w:abstractNumId w:val="17"/>
  </w:num>
  <w:num w:numId="45">
    <w:abstractNumId w:val="32"/>
  </w:num>
  <w:num w:numId="46">
    <w:abstractNumId w:val="9"/>
  </w:num>
  <w:num w:numId="47">
    <w:abstractNumId w:val="9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710"/>
    <w:rsid w:val="002067BE"/>
    <w:rsid w:val="0052481B"/>
    <w:rsid w:val="005A13E0"/>
    <w:rsid w:val="00617BFF"/>
    <w:rsid w:val="007D05AB"/>
    <w:rsid w:val="0098287F"/>
    <w:rsid w:val="00C62AD5"/>
    <w:rsid w:val="00C81710"/>
    <w:rsid w:val="00DD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10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8171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817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7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1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1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pert-info">
    <w:name w:val="expert-info"/>
    <w:basedOn w:val="a0"/>
    <w:rsid w:val="00C81710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C8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710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C81710"/>
    <w:rPr>
      <w:rFonts w:cs="Times New Roman"/>
      <w:b/>
      <w:bCs/>
    </w:rPr>
  </w:style>
  <w:style w:type="paragraph" w:customStyle="1" w:styleId="msonormal0">
    <w:name w:val="msonormal"/>
    <w:basedOn w:val="a"/>
    <w:rsid w:val="00C8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17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5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AV.Sergeeva</dc:creator>
  <cp:keywords/>
  <dc:description/>
  <cp:lastModifiedBy>Дубова Тятьяна Ивано</cp:lastModifiedBy>
  <cp:revision>6</cp:revision>
  <dcterms:created xsi:type="dcterms:W3CDTF">2022-12-12T16:07:00Z</dcterms:created>
  <dcterms:modified xsi:type="dcterms:W3CDTF">2023-02-15T09:48:00Z</dcterms:modified>
</cp:coreProperties>
</file>